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74"/>
    <w:p>
      <w:pPr>
        <w:pStyle w:val="Heading1"/>
      </w:pPr>
      <w:r>
        <w:t xml:space="preserve">Homiletics Analysis: Psalms 74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74 is a communal lament — one of the most anguished in the Psalter — composed in the wake of catastrophic national devastation, almost certainly the Babylonian destruction of Jerusalem and the temple in 586 BC. The psalm moves in three broad movements. It opens with raw, accusatory address:</w:t>
      </w:r>
      <w:r>
        <w:t xml:space="preserve"> </w:t>
      </w:r>
      <w:r>
        <w:t xml:space="preserve">“O God, why have you rejected us forever?”</w:t>
      </w:r>
      <w:r>
        <w:t xml:space="preserve"> </w:t>
      </w:r>
      <w:r>
        <w:t xml:space="preserve">(v. 1). Asaph (or a descendant writing in his tradition) presses God with the visible evidence of His apparent abandonment — the enemy has desecrated and demolished the sanctuary, silenced the prophets, and left Israel without a sign or a word from heaven (vv. 1–11). The middle section pivots to theocentric praise — a rehearsal of God’s sovereign power in creation: He split the sea, crushed Leviathan, established the luminaries, fixed the seasons, set the boundaries of earth (vv. 12–17). This is not a mood shift but a theological argument — the psalmist is pressing God with His own credentials. The closing movement returns to petition, grounding its appeals not in Israel’s merit but in God’s own name, covenant, and honor:</w:t>
      </w:r>
      <w:r>
        <w:t xml:space="preserve"> </w:t>
      </w:r>
      <w:r>
        <w:t xml:space="preserve">“Remember this, O LORD”</w:t>
      </w:r>
      <w:r>
        <w:t xml:space="preserve"> </w:t>
      </w:r>
      <w:r>
        <w:t xml:space="preserve">(v. 18);</w:t>
      </w:r>
      <w:r>
        <w:t xml:space="preserve"> </w:t>
      </w:r>
      <w:r>
        <w:t xml:space="preserve">“Have regard for your covenant”</w:t>
      </w:r>
      <w:r>
        <w:t xml:space="preserve"> </w:t>
      </w:r>
      <w:r>
        <w:t xml:space="preserve">(v. 20);</w:t>
      </w:r>
      <w:r>
        <w:t xml:space="preserve"> </w:t>
      </w:r>
      <w:r>
        <w:t xml:space="preserve">“Arise, O God, defend your cause”</w:t>
      </w:r>
      <w:r>
        <w:t xml:space="preserve"> </w:t>
      </w:r>
      <w:r>
        <w:t xml:space="preserve">(v. 22). The psalm ends without resolution — no divine response is recorded, no assurance of deliverance given. The final note is petition, not triumph.</w:t>
      </w:r>
    </w:p>
    <w:p>
      <w:pPr>
        <w:pStyle w:val="BodyText"/>
      </w:pPr>
      <w:r>
        <w:rPr>
          <w:b/>
          <w:bCs/>
        </w:rPr>
        <w:t xml:space="preserve">This Text — Intent</w:t>
      </w:r>
    </w:p>
    <w:p>
      <w:pPr>
        <w:pStyle w:val="BodyText"/>
      </w:pPr>
      <w:r>
        <w:t xml:space="preserve">God is doing something precise through this psalm. He is giving His people a vocabulary for disorientation — language that is theologically honest, directionally coherent, and covenantally grounded even when circumstances are utterly dark. The intent is not to teach Israel how to feel better, but to teach them how to pray when God seems absent and His cause seems lost. Specifically, God is calling His people to press into lament rather than away from it — to bring their devastation, confusion, and apparent abandonment before the throne rather than resolving it too quickly into either despair or false comfort. The rehearsal of God’s creative power in the center of the psalm functions as intentional theological counter-pressure: when the visible evidence argues for God’s defeat, the believer is called to argue back from what he knows to be true of God — His power, His name, His covenant, His honor. The psalm models the movement from accusation and confusion, through theological remembrance, to petition anchored in God’s character. This is faith functioning in darkness.</w:t>
      </w:r>
    </w:p>
    <w:p>
      <w:r>
        <w:pict>
          <v:rect style="width:0;height:1.5pt" o:hralign="center" o:hrstd="t" o:hr="t"/>
        </w:pict>
      </w:r>
    </w:p>
    <w:p>
      <w:pPr>
        <w:pStyle w:val="FirstParagraph"/>
      </w:pPr>
      <w:r>
        <w:rPr>
          <w:b/>
          <w:bCs/>
        </w:rPr>
        <w:t xml:space="preserve">Subject Sentence:</w:t>
      </w:r>
      <w:r>
        <w:t xml:space="preserve"> </w:t>
      </w:r>
      <w:r>
        <w:t xml:space="preserve">God teaches His people to pray with theological honesty when He seems absent and His sanctuary lies in ruins.</w:t>
      </w:r>
    </w:p>
    <w:p>
      <w:r>
        <w:pict>
          <v:rect style="width:0;height:1.5pt" o:hralign="center" o:hrstd="t" o:hr="t"/>
        </w:pict>
      </w:r>
    </w:p>
    <w:p>
      <w:pPr>
        <w:pStyle w:val="FirstParagraph"/>
      </w:pPr>
      <w:r>
        <w:rPr>
          <w:b/>
          <w:bCs/>
        </w:rPr>
        <w:t xml:space="preserve">Primary Claim:</w:t>
      </w:r>
      <w:r>
        <w:t xml:space="preserve"> </w:t>
      </w:r>
      <w:r>
        <w:t xml:space="preserve">When God appears to have abandoned His people and His cause, He calls them not to silence or despair but to covenantal lament — pressing Him with His own name, power, and honor until He acts.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occasion of the psalm</w:t>
      </w:r>
      <w:r>
        <w:t xml:space="preserve">: The superscription attributes the psalm to Asaph, though most scholars recognize this as an Asaphite tradition extending across generations. The nearly certain historical backdrop is the Babylonian destruction of 586 BC, based on the specific references to the burning of meeting places throughout the land (v. 8), the silencing of prophecy (v. 9), and the apparent finality of the destruction (</w:t>
      </w:r>
      <w:r>
        <w:t xml:space="preserve">“Why do you hold back your hand?”</w:t>
      </w:r>
      <w:r>
        <w:t xml:space="preserve"> </w:t>
      </w:r>
      <w:r>
        <w:t xml:space="preserve">v. 11). A minority reading places the psalm in the Maccabean period (167–164 BC, during Antiochus IV’s desecration of the temple). The Reformed reading favors the Babylonian backdrop as the more natural historical anchor, while acknowledging that the psalm’s canonical function transcends its original occasion — it was preserved precisely because it speaks to every generation facing apparent divine abandonment.</w:t>
      </w:r>
    </w:p>
    <w:p>
      <w:pPr>
        <w:pStyle w:val="BodyText"/>
      </w:pPr>
      <w:r>
        <w:rPr>
          <w:b/>
          <w:bCs/>
        </w:rPr>
        <w:t xml:space="preserve">Verse 12 as a pivot —</w:t>
      </w:r>
      <w:r>
        <w:rPr>
          <w:b/>
          <w:bCs/>
        </w:rPr>
        <w:t xml:space="preserve"> </w:t>
      </w:r>
      <w:r>
        <w:rPr>
          <w:b/>
          <w:bCs/>
        </w:rPr>
        <w:t xml:space="preserve">“Yet God my King is from of old”</w:t>
      </w:r>
      <w:r>
        <w:t xml:space="preserve">: This verse is the theological hinge of the psalm. Some readers flatten it into a simple doxology inserted for contrast. The Reformed reading, following Calvin and more recently Derek Kidner and Alec Motyer, recognizes this as argumentative — the psalmist is making a case to God from God’s own resume.</w:t>
      </w:r>
      <w:r>
        <w:t xml:space="preserve"> </w:t>
      </w:r>
      <w:r>
        <w:t xml:space="preserve">“You did this before; You can do it again; You must do it again — for Your name’s sake.”</w:t>
      </w:r>
      <w:r>
        <w:t xml:space="preserve"> </w:t>
      </w:r>
      <w:r>
        <w:t xml:space="preserve">This reading is strongly supported by the grammatical construction (</w:t>
      </w:r>
      <w:r>
        <w:rPr>
          <w:i/>
          <w:iCs/>
        </w:rPr>
        <w:t xml:space="preserve">wĕ’ĕlōhîm malki miqedem</w:t>
      </w:r>
      <w:r>
        <w:t xml:space="preserve"> </w:t>
      </w:r>
      <w:r>
        <w:t xml:space="preserve">—</w:t>
      </w:r>
      <w:r>
        <w:t xml:space="preserve"> </w:t>
      </w:r>
      <w:r>
        <w:t xml:space="preserve">“Yet/But God my King from ancient times”</w:t>
      </w:r>
      <w:r>
        <w:t xml:space="preserve">) and by the way the petitions in vv. 18–23 explicitly return to what has been rehearsed in vv. 12–17.</w:t>
      </w:r>
    </w:p>
    <w:p>
      <w:pPr>
        <w:pStyle w:val="BodyText"/>
      </w:pPr>
      <w:r>
        <w:rPr>
          <w:b/>
          <w:bCs/>
        </w:rPr>
        <w:t xml:space="preserve">Leviathan (v. 14) — mythological or historical?</w:t>
      </w:r>
      <w:r>
        <w:t xml:space="preserve">: Some interpreters read the Leviathan imagery as straightforward borrowing from Ancient Near Eastern cosmological mythology (Baal cycle, Ugaritic texts), suggesting the psalmist is simply using available cultural imagery without theological precision. A stronger reading — consistent with Reformed interpretation — treats the Leviathan imagery as historically anchored in the Exodus (the crushing of Egypt) while using cosmological imagery to assert that this was a creation-level act of divine power. Psalm 74 is not conceding ANE mythology; it is conscripting ANE imagery to proclaim Yahweh’s absolute sovereignty over the very forces pagan nations attributed to their gods. The verdict is</w:t>
      </w:r>
      <w:r>
        <w:t xml:space="preserve"> </w:t>
      </w:r>
      <w:r>
        <w:rPr>
          <w:b/>
          <w:bCs/>
        </w:rPr>
        <w:t xml:space="preserve">qualify</w:t>
      </w:r>
      <w:r>
        <w:t xml:space="preserve"> </w:t>
      </w:r>
      <w:r>
        <w:t xml:space="preserve">on the mythological reading: the imagery is genuinely drawn from the ANE context, but this enriches rather than undermines the theological claim.</w:t>
      </w:r>
    </w:p>
    <w:p>
      <w:pPr>
        <w:pStyle w:val="BodyText"/>
      </w:pPr>
      <w:r>
        <w:rPr>
          <w:b/>
          <w:bCs/>
        </w:rPr>
        <w:t xml:space="preserve">The</w:t>
      </w:r>
      <w:r>
        <w:rPr>
          <w:b/>
          <w:bCs/>
        </w:rPr>
        <w:t xml:space="preserve"> </w:t>
      </w:r>
      <w:r>
        <w:rPr>
          <w:b/>
          <w:bCs/>
        </w:rPr>
        <w:t xml:space="preserve">“unanswered lament”</w:t>
      </w:r>
      <w:r>
        <w:rPr>
          <w:b/>
          <w:bCs/>
        </w:rPr>
        <w:t xml:space="preserve"> </w:t>
      </w:r>
      <w:r>
        <w:rPr>
          <w:b/>
          <w:bCs/>
        </w:rPr>
        <w:t xml:space="preserve">problem — Pentecostal/Charismatic reading</w:t>
      </w:r>
      <w:r>
        <w:t xml:space="preserve">: Charismatic exposition sometimes struggles with Psalm 74’s ending — the absence of resolution, the silence of God, the lack of any assurance of answered prayer. The tendency is to import a resolution that the text does not provide, treating the psalm’s rehearsal of God’s power as an implicit promise of imminent deliverance. The text resists this. The Reformed reading honors the psalm’s unresolved ending as itself theologically intentional — the canon preserves this psalm precisely because God’s people sometimes pray in darkness and the darkness does not immediately lift. This is</w:t>
      </w:r>
      <w:r>
        <w:t xml:space="preserve"> </w:t>
      </w:r>
      <w:r>
        <w:rPr>
          <w:b/>
          <w:bCs/>
        </w:rPr>
        <w:t xml:space="preserve">refute</w:t>
      </w:r>
      <w:r>
        <w:t xml:space="preserve">: the text does not provide resolution, and importing one domesticates the psalm’s radical honesty.</w:t>
      </w:r>
    </w:p>
    <w:p>
      <w:pPr>
        <w:pStyle w:val="BodyText"/>
      </w:pPr>
      <w:r>
        <w:rPr>
          <w:b/>
          <w:bCs/>
        </w:rPr>
        <w:t xml:space="preserve">Wesleyan/Arminian reading on human initiative</w:t>
      </w:r>
      <w:r>
        <w:t xml:space="preserve">: Some Wesleyan exposition reads the psalm’s petitions as modeling the believer’s role in</w:t>
      </w:r>
      <w:r>
        <w:t xml:space="preserve"> </w:t>
      </w:r>
      <w:r>
        <w:rPr>
          <w:i/>
          <w:iCs/>
        </w:rPr>
        <w:t xml:space="preserve">activating</w:t>
      </w:r>
      <w:r>
        <w:t xml:space="preserve"> </w:t>
      </w:r>
      <w:r>
        <w:t xml:space="preserve">divine response — as if God is waiting for sufficiently earnest prayer before acting. The Reformed reading prefers to ground the petitions in God’s covenantal commitment: the psalmist is not manipulating God but appealing to what God has already bound Himself to do. The petitions are faith-speech, not leverage.</w:t>
      </w:r>
      <w:r>
        <w:t xml:space="preserve"> </w:t>
      </w:r>
      <w:r>
        <w:rPr>
          <w:b/>
          <w:bCs/>
        </w:rPr>
        <w:t xml:space="preserve">Qualify</w:t>
      </w:r>
      <w:r>
        <w:t xml:space="preserve"> </w:t>
      </w:r>
      <w:r>
        <w:t xml:space="preserve">— human prayer genuinely matters in the Reformed framework; the difference is that it matters because God has ordained it, not because it activates a neutral deity.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Lamentations 1–2</w:t>
      </w:r>
      <w:r>
        <w:t xml:space="preserve"> </w:t>
      </w:r>
      <w:r>
        <w:t xml:space="preserve">— The closest canonical parallel in tone and occasion: corporate lament over Jerusalem’s destruction, pressing God with the visible evidence of devastation while refusing to abandon covenantal address. Confirms that the lament genre is theologically legitimate and not a failure of faith.</w:t>
      </w:r>
    </w:p>
    <w:p>
      <w:pPr>
        <w:numPr>
          <w:ilvl w:val="0"/>
          <w:numId w:val="1001"/>
        </w:numPr>
      </w:pPr>
      <w:r>
        <w:rPr>
          <w:b/>
          <w:bCs/>
        </w:rPr>
        <w:t xml:space="preserve">Exodus 14–15</w:t>
      </w:r>
      <w:r>
        <w:t xml:space="preserve"> </w:t>
      </w:r>
      <w:r>
        <w:t xml:space="preserve">— The historical event behind Psalm 74:12–15. God’s defeat of Egypt at the sea is the foundational act the psalmist invokes as God’s</w:t>
      </w:r>
      <w:r>
        <w:t xml:space="preserve"> </w:t>
      </w:r>
      <w:r>
        <w:t xml:space="preserve">“resume.”</w:t>
      </w:r>
      <w:r>
        <w:t xml:space="preserve"> </w:t>
      </w:r>
      <w:r>
        <w:t xml:space="preserve">The creation-through-conquest language establishes that Yahweh’s power over chaos is not merely cosmic but historically enacted on behalf of His people.</w:t>
      </w:r>
    </w:p>
    <w:p>
      <w:pPr>
        <w:numPr>
          <w:ilvl w:val="0"/>
          <w:numId w:val="1001"/>
        </w:numPr>
      </w:pPr>
      <w:r>
        <w:rPr>
          <w:b/>
          <w:bCs/>
        </w:rPr>
        <w:t xml:space="preserve">Isaiah 51:9–11</w:t>
      </w:r>
      <w:r>
        <w:t xml:space="preserve"> </w:t>
      </w:r>
      <w:r>
        <w:t xml:space="preserve">— Isaiah invokes the same exodus-creation complex (</w:t>
      </w:r>
      <w:r>
        <w:t xml:space="preserve">“Was it not you who cut Rahab in pieces, who pierced the dragon?”</w:t>
      </w:r>
      <w:r>
        <w:t xml:space="preserve">) as a basis for new-exodus hope in Babylonian exile — confirming that Psalm 74’s argumentative strategy (pressing God with His prior acts) is the canonical pattern for faith under judgment.</w:t>
      </w:r>
    </w:p>
    <w:p>
      <w:pPr>
        <w:numPr>
          <w:ilvl w:val="0"/>
          <w:numId w:val="1001"/>
        </w:numPr>
      </w:pPr>
      <w:r>
        <w:rPr>
          <w:b/>
          <w:bCs/>
        </w:rPr>
        <w:t xml:space="preserve">Habakkuk 1–2</w:t>
      </w:r>
      <w:r>
        <w:t xml:space="preserve"> </w:t>
      </w:r>
      <w:r>
        <w:t xml:space="preserve">— The closest structural parallel in the Prophets: a prophet presses God with the apparent contradiction between His character and His apparent inaction, receives God’s answer (not the answer expected), and resolves in faith (</w:t>
      </w:r>
      <w:r>
        <w:t xml:space="preserve">“yet I will rejoice,”</w:t>
      </w:r>
      <w:r>
        <w:t xml:space="preserve"> </w:t>
      </w:r>
      <w:r>
        <w:t xml:space="preserve">Hab. 3:18). Together with Psalm 74, this models faith-in-darkness as directional (toward God) rather than resolving (into clarity).</w:t>
      </w:r>
    </w:p>
    <w:p>
      <w:pPr>
        <w:numPr>
          <w:ilvl w:val="0"/>
          <w:numId w:val="1001"/>
        </w:numPr>
      </w:pPr>
      <w:r>
        <w:rPr>
          <w:b/>
          <w:bCs/>
        </w:rPr>
        <w:t xml:space="preserve">Revelation 6:9–11</w:t>
      </w:r>
      <w:r>
        <w:t xml:space="preserve"> </w:t>
      </w:r>
      <w:r>
        <w:t xml:space="preserve">— The martyrs under the altar cry</w:t>
      </w:r>
      <w:r>
        <w:t xml:space="preserve"> </w:t>
      </w:r>
      <w:r>
        <w:t xml:space="preserve">“How long, O Lord?”</w:t>
      </w:r>
      <w:r>
        <w:t xml:space="preserve"> </w:t>
      </w:r>
      <w:r>
        <w:t xml:space="preserve">— the same covenantal lament vocabulary of Psalm 74, now appearing in the eschatological consummation. This confirms that covenantal lament is not merely an OT phenomenon but persists into the new covenant age and is ultimately resolved only at the final judgment.</w:t>
      </w:r>
    </w:p>
    <w:p>
      <w:r>
        <w:pict>
          <v:rect style="width:0;height:1.5pt" o:hralign="center" o:hrstd="t" o:hr="t"/>
        </w:pict>
      </w:r>
    </w:p>
    <w:p>
      <w:pPr>
        <w:pStyle w:val="FirstParagraph"/>
      </w:pPr>
      <w:r>
        <w:rPr>
          <w:b/>
          <w:bCs/>
        </w:rPr>
        <w:t xml:space="preserve">Aim:</w:t>
      </w:r>
      <w:r>
        <w:t xml:space="preserve"> </w:t>
      </w:r>
      <w:r>
        <w:t xml:space="preserve">To equip readers to practice covenantal lament — bringing devastation and apparent divine absence to God with theological honesty, pressing Him with His own character and covenant rather than collapsing into despair or forced resolution.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Opening accusation:</w:t>
            </w:r>
            <w:r>
              <w:t xml:space="preserve"> </w:t>
            </w:r>
            <w:r>
              <w:t xml:space="preserve">“O God, why have you rejected us forever?”</w:t>
            </w:r>
            <w:r>
              <w:t xml:space="preserve"> </w:t>
            </w:r>
            <w:r>
              <w:t xml:space="preserve">— smoke and sheep imagery for divine anger and abandonment</w:t>
            </w:r>
          </w:p>
        </w:tc>
        <w:tc>
          <w:tcPr/>
          <w:p>
            <w:pPr>
              <w:pStyle w:val="Compact"/>
            </w:pPr>
            <w:r>
              <w:rPr>
                <w:i/>
                <w:iCs/>
              </w:rPr>
              <w:t xml:space="preserve">lāneṣaḥ</w:t>
            </w:r>
            <w:r>
              <w:t xml:space="preserve"> </w:t>
            </w:r>
            <w:r>
              <w:t xml:space="preserve">(</w:t>
            </w:r>
            <w:r>
              <w:t xml:space="preserve">“forever”</w:t>
            </w:r>
            <w:r>
              <w:t xml:space="preserve">) — hyperbolic but emotionally exact; signals complete disorientation</w:t>
            </w:r>
          </w:p>
        </w:tc>
      </w:tr>
      <w:tr>
        <w:tc>
          <w:tcPr/>
          <w:p>
            <w:pPr>
              <w:pStyle w:val="Compact"/>
            </w:pPr>
            <w:r>
              <w:t xml:space="preserve">2</w:t>
            </w:r>
          </w:p>
        </w:tc>
        <w:tc>
          <w:tcPr/>
          <w:p>
            <w:pPr>
              <w:pStyle w:val="Compact"/>
            </w:pPr>
            <w:r>
              <w:t xml:space="preserve">Covenantal appeal:</w:t>
            </w:r>
            <w:r>
              <w:t xml:space="preserve"> </w:t>
            </w:r>
            <w:r>
              <w:t xml:space="preserve">“Remember your congregation, which you have purchased of old”</w:t>
            </w:r>
            <w:r>
              <w:t xml:space="preserve"> </w:t>
            </w:r>
            <w:r>
              <w:t xml:space="preserve">— tribal inheritance, Zion</w:t>
            </w:r>
          </w:p>
        </w:tc>
        <w:tc>
          <w:tcPr/>
          <w:p>
            <w:pPr>
              <w:pStyle w:val="Compact"/>
            </w:pPr>
            <w:r>
              <w:t xml:space="preserve">Three grounds for appeal: purchase, inheritance, dwelling; all covenantal</w:t>
            </w:r>
          </w:p>
        </w:tc>
      </w:tr>
      <w:tr>
        <w:tc>
          <w:tcPr/>
          <w:p>
            <w:pPr>
              <w:pStyle w:val="Compact"/>
            </w:pPr>
            <w:r>
              <w:t xml:space="preserve">3</w:t>
            </w:r>
          </w:p>
        </w:tc>
        <w:tc>
          <w:tcPr/>
          <w:p>
            <w:pPr>
              <w:pStyle w:val="Compact"/>
            </w:pPr>
            <w:r>
              <w:t xml:space="preserve">“Direct your steps to the perpetual ruins”</w:t>
            </w:r>
            <w:r>
              <w:t xml:space="preserve"> </w:t>
            </w:r>
            <w:r>
              <w:t xml:space="preserve">— invitation to God to come and see</w:t>
            </w:r>
          </w:p>
        </w:tc>
        <w:tc>
          <w:tcPr/>
          <w:p>
            <w:pPr>
              <w:pStyle w:val="Compact"/>
            </w:pPr>
            <w:r>
              <w:t xml:space="preserve">The psalmist’s first move: bring God to the evidence</w:t>
            </w:r>
          </w:p>
        </w:tc>
      </w:tr>
      <w:tr>
        <w:tc>
          <w:tcPr/>
          <w:p>
            <w:pPr>
              <w:pStyle w:val="Compact"/>
            </w:pPr>
            <w:r>
              <w:t xml:space="preserve">4–7</w:t>
            </w:r>
          </w:p>
        </w:tc>
        <w:tc>
          <w:tcPr/>
          <w:p>
            <w:pPr>
              <w:pStyle w:val="Compact"/>
            </w:pPr>
            <w:r>
              <w:t xml:space="preserve">Description of the enemy’s desecration: roaring in the sanctuary, hacking the carved wood, burning the building to the ground</w:t>
            </w:r>
          </w:p>
        </w:tc>
        <w:tc>
          <w:tcPr/>
          <w:p>
            <w:pPr>
              <w:pStyle w:val="Compact"/>
            </w:pPr>
            <w:r>
              <w:t xml:space="preserve">Specific, visceral — the enemy did not merely occupy; he destroyed</w:t>
            </w:r>
          </w:p>
        </w:tc>
      </w:tr>
      <w:tr>
        <w:tc>
          <w:tcPr/>
          <w:p>
            <w:pPr>
              <w:pStyle w:val="Compact"/>
            </w:pPr>
            <w:r>
              <w:t xml:space="preserve">8</w:t>
            </w:r>
          </w:p>
        </w:tc>
        <w:tc>
          <w:tcPr/>
          <w:p>
            <w:pPr>
              <w:pStyle w:val="Compact"/>
            </w:pPr>
            <w:r>
              <w:t xml:space="preserve">“They said to themselves,</w:t>
            </w:r>
            <w:r>
              <w:t xml:space="preserve"> </w:t>
            </w:r>
            <w:r>
              <w:t xml:space="preserve">‘We will utterly subdue them’</w:t>
            </w:r>
            <w:r>
              <w:t xml:space="preserve">; they burned all the meeting places of God in the land”</w:t>
            </w:r>
          </w:p>
        </w:tc>
        <w:tc>
          <w:tcPr/>
          <w:p>
            <w:pPr>
              <w:pStyle w:val="Compact"/>
            </w:pPr>
            <w:r>
              <w:t xml:space="preserve">Scope extends beyond Jerusalem — a total assault on Yahweh’s presence in Israel</w:t>
            </w:r>
          </w:p>
        </w:tc>
      </w:tr>
      <w:tr>
        <w:tc>
          <w:tcPr/>
          <w:p>
            <w:pPr>
              <w:pStyle w:val="Compact"/>
            </w:pPr>
            <w:r>
              <w:t xml:space="preserve">9</w:t>
            </w:r>
          </w:p>
        </w:tc>
        <w:tc>
          <w:tcPr/>
          <w:p>
            <w:pPr>
              <w:pStyle w:val="Compact"/>
            </w:pPr>
            <w:r>
              <w:t xml:space="preserve">“We do not see our signs; there is no longer any prophet, and there is none among us who knows how long”</w:t>
            </w:r>
          </w:p>
        </w:tc>
        <w:tc>
          <w:tcPr/>
          <w:p>
            <w:pPr>
              <w:pStyle w:val="Compact"/>
            </w:pPr>
            <w:r>
              <w:t xml:space="preserve">Triple absence: signs, prophets, timeframe — complete epistemic darkness</w:t>
            </w:r>
          </w:p>
        </w:tc>
      </w:tr>
      <w:tr>
        <w:tc>
          <w:tcPr/>
          <w:p>
            <w:pPr>
              <w:pStyle w:val="Compact"/>
            </w:pPr>
            <w:r>
              <w:t xml:space="preserve">10–11</w:t>
            </w:r>
          </w:p>
        </w:tc>
        <w:tc>
          <w:tcPr/>
          <w:p>
            <w:pPr>
              <w:pStyle w:val="Compact"/>
            </w:pPr>
            <w:r>
              <w:t xml:space="preserve">Double</w:t>
            </w:r>
            <w:r>
              <w:t xml:space="preserve"> </w:t>
            </w:r>
            <w:r>
              <w:t xml:space="preserve">“how long?”</w:t>
            </w:r>
            <w:r>
              <w:t xml:space="preserve"> </w:t>
            </w:r>
            <w:r>
              <w:t xml:space="preserve">— enemies mocking, God’s right hand withheld</w:t>
            </w:r>
          </w:p>
        </w:tc>
        <w:tc>
          <w:tcPr/>
          <w:p>
            <w:pPr>
              <w:pStyle w:val="Compact"/>
            </w:pPr>
            <w:r>
              <w:t xml:space="preserve">The lament reaches its most urgent pitch; God is implicated in His own apparent inaction</w:t>
            </w:r>
          </w:p>
        </w:tc>
      </w:tr>
      <w:tr>
        <w:tc>
          <w:tcPr/>
          <w:p>
            <w:pPr>
              <w:pStyle w:val="Compact"/>
            </w:pPr>
            <w:r>
              <w:t xml:space="preserve">12</w:t>
            </w:r>
          </w:p>
        </w:tc>
        <w:tc>
          <w:tcPr/>
          <w:p>
            <w:pPr>
              <w:pStyle w:val="Compact"/>
            </w:pPr>
            <w:r>
              <w:t xml:space="preserve">Pivot:</w:t>
            </w:r>
            <w:r>
              <w:t xml:space="preserve"> </w:t>
            </w:r>
            <w:r>
              <w:t xml:space="preserve">“Yet God my King is from of old, working salvation in the midst of the earth”</w:t>
            </w:r>
          </w:p>
        </w:tc>
        <w:tc>
          <w:tcPr/>
          <w:p>
            <w:pPr>
              <w:pStyle w:val="Compact"/>
            </w:pPr>
            <w:r>
              <w:rPr>
                <w:i/>
                <w:iCs/>
              </w:rPr>
              <w:t xml:space="preserve">wĕ’ĕlōhîm</w:t>
            </w:r>
            <w:r>
              <w:t xml:space="preserve"> </w:t>
            </w:r>
            <w:r>
              <w:t xml:space="preserve">— adversative pivot; this verse is the theological fulcrum of the whole psalm</w:t>
            </w:r>
          </w:p>
        </w:tc>
      </w:tr>
      <w:tr>
        <w:tc>
          <w:tcPr/>
          <w:p>
            <w:pPr>
              <w:pStyle w:val="Compact"/>
            </w:pPr>
            <w:r>
              <w:t xml:space="preserve">13–14</w:t>
            </w:r>
          </w:p>
        </w:tc>
        <w:tc>
          <w:tcPr/>
          <w:p>
            <w:pPr>
              <w:pStyle w:val="Compact"/>
            </w:pPr>
            <w:r>
              <w:t xml:space="preserve">Divine acts at the Exodus: dividing the sea, crushing Leviathan/Egypt’s heads</w:t>
            </w:r>
          </w:p>
        </w:tc>
        <w:tc>
          <w:tcPr/>
          <w:p>
            <w:pPr>
              <w:pStyle w:val="Compact"/>
            </w:pPr>
            <w:r>
              <w:t xml:space="preserve">Leviathan = Egypt;</w:t>
            </w:r>
            <w:r>
              <w:t xml:space="preserve"> </w:t>
            </w:r>
            <w:r>
              <w:t xml:space="preserve">“food for the creatures of the wilderness”</w:t>
            </w:r>
            <w:r>
              <w:t xml:space="preserve"> </w:t>
            </w:r>
            <w:r>
              <w:t xml:space="preserve">= Israel’s Exodus journey</w:t>
            </w:r>
          </w:p>
        </w:tc>
      </w:tr>
      <w:tr>
        <w:tc>
          <w:tcPr/>
          <w:p>
            <w:pPr>
              <w:pStyle w:val="Compact"/>
            </w:pPr>
            <w:r>
              <w:t xml:space="preserve">15</w:t>
            </w:r>
          </w:p>
        </w:tc>
        <w:tc>
          <w:tcPr/>
          <w:p>
            <w:pPr>
              <w:pStyle w:val="Compact"/>
            </w:pPr>
            <w:r>
              <w:t xml:space="preserve">God’s creation power: splitting springs, drying rivers, establishing day/night</w:t>
            </w:r>
          </w:p>
        </w:tc>
        <w:tc>
          <w:tcPr/>
          <w:p>
            <w:pPr>
              <w:pStyle w:val="Compact"/>
            </w:pPr>
            <w:r>
              <w:t xml:space="preserve">Moves from historical act to cosmic sovereignty — Yahweh governs creation itself</w:t>
            </w:r>
          </w:p>
        </w:tc>
      </w:tr>
      <w:tr>
        <w:tc>
          <w:tcPr/>
          <w:p>
            <w:pPr>
              <w:pStyle w:val="Compact"/>
            </w:pPr>
            <w:r>
              <w:t xml:space="preserve">16–17</w:t>
            </w:r>
          </w:p>
        </w:tc>
        <w:tc>
          <w:tcPr/>
          <w:p>
            <w:pPr>
              <w:pStyle w:val="Compact"/>
            </w:pPr>
            <w:r>
              <w:t xml:space="preserve">God’s sovereignty over natural order: light, sun, seasons, boundaries of earth</w:t>
            </w:r>
          </w:p>
        </w:tc>
        <w:tc>
          <w:tcPr/>
          <w:p>
            <w:pPr>
              <w:pStyle w:val="Compact"/>
            </w:pPr>
            <w:r>
              <w:t xml:space="preserve">The argument from creation: the God who sustains this cannot be defeated</w:t>
            </w:r>
          </w:p>
        </w:tc>
      </w:tr>
      <w:tr>
        <w:tc>
          <w:tcPr/>
          <w:p>
            <w:pPr>
              <w:pStyle w:val="Compact"/>
            </w:pPr>
            <w:r>
              <w:t xml:space="preserve">18</w:t>
            </w:r>
          </w:p>
        </w:tc>
        <w:tc>
          <w:tcPr/>
          <w:p>
            <w:pPr>
              <w:pStyle w:val="Compact"/>
            </w:pPr>
            <w:r>
              <w:t xml:space="preserve">“Remember this, O LORD”</w:t>
            </w:r>
            <w:r>
              <w:t xml:space="preserve"> </w:t>
            </w:r>
            <w:r>
              <w:t xml:space="preserve">— petition opens with the enemy’s mocking of God’s name</w:t>
            </w:r>
          </w:p>
        </w:tc>
        <w:tc>
          <w:tcPr/>
          <w:p>
            <w:pPr>
              <w:pStyle w:val="Compact"/>
            </w:pPr>
            <w:r>
              <w:t xml:space="preserve">Appeals shift from accusation/praise to direct petition; God’s honor is the ground</w:t>
            </w:r>
          </w:p>
        </w:tc>
      </w:tr>
      <w:tr>
        <w:tc>
          <w:tcPr/>
          <w:p>
            <w:pPr>
              <w:pStyle w:val="Compact"/>
            </w:pPr>
            <w:r>
              <w:t xml:space="preserve">19</w:t>
            </w:r>
          </w:p>
        </w:tc>
        <w:tc>
          <w:tcPr/>
          <w:p>
            <w:pPr>
              <w:pStyle w:val="Compact"/>
            </w:pPr>
            <w:r>
              <w:t xml:space="preserve">“Do not deliver the soul of your dove to the wild beasts”</w:t>
            </w:r>
            <w:r>
              <w:t xml:space="preserve"> </w:t>
            </w:r>
            <w:r>
              <w:t xml:space="preserve">— Israel as vulnerable dove</w:t>
            </w:r>
          </w:p>
        </w:tc>
        <w:tc>
          <w:tcPr/>
          <w:p>
            <w:pPr>
              <w:pStyle w:val="Compact"/>
            </w:pPr>
            <w:r>
              <w:t xml:space="preserve">Covenant imagery: dove, poor, needy — the vulnerable people of God</w:t>
            </w:r>
          </w:p>
        </w:tc>
      </w:tr>
      <w:tr>
        <w:tc>
          <w:tcPr/>
          <w:p>
            <w:pPr>
              <w:pStyle w:val="Compact"/>
            </w:pPr>
            <w:r>
              <w:t xml:space="preserve">20</w:t>
            </w:r>
          </w:p>
        </w:tc>
        <w:tc>
          <w:tcPr/>
          <w:p>
            <w:pPr>
              <w:pStyle w:val="Compact"/>
            </w:pPr>
            <w:r>
              <w:t xml:space="preserve">“Have regard for your covenant”</w:t>
            </w:r>
            <w:r>
              <w:t xml:space="preserve"> </w:t>
            </w:r>
            <w:r>
              <w:t xml:space="preserve">— the most direct covenantal appeal in the psalm</w:t>
            </w:r>
          </w:p>
        </w:tc>
        <w:tc>
          <w:tcPr/>
          <w:p>
            <w:pPr>
              <w:pStyle w:val="Compact"/>
            </w:pPr>
            <w:r>
              <w:t xml:space="preserve">The covenant is the psalmist’s ultimate ground of confidence</w:t>
            </w:r>
          </w:p>
        </w:tc>
      </w:tr>
      <w:tr>
        <w:tc>
          <w:tcPr/>
          <w:p>
            <w:pPr>
              <w:pStyle w:val="Compact"/>
            </w:pPr>
            <w:r>
              <w:t xml:space="preserve">21</w:t>
            </w:r>
          </w:p>
        </w:tc>
        <w:tc>
          <w:tcPr/>
          <w:p>
            <w:pPr>
              <w:pStyle w:val="Compact"/>
            </w:pPr>
            <w:r>
              <w:t xml:space="preserve">“Let not the downtrodden turn back in shame; let the poor and needy praise your name”</w:t>
            </w:r>
          </w:p>
        </w:tc>
        <w:tc>
          <w:tcPr/>
          <w:p>
            <w:pPr>
              <w:pStyle w:val="Compact"/>
            </w:pPr>
            <w:r>
              <w:t xml:space="preserve">Petition shifts to the effect on God’s people — shame vs. praise</w:t>
            </w:r>
          </w:p>
        </w:tc>
      </w:tr>
      <w:tr>
        <w:tc>
          <w:tcPr/>
          <w:p>
            <w:pPr>
              <w:pStyle w:val="Compact"/>
            </w:pPr>
            <w:r>
              <w:t xml:space="preserve">22–23</w:t>
            </w:r>
          </w:p>
        </w:tc>
        <w:tc>
          <w:tcPr/>
          <w:p>
            <w:pPr>
              <w:pStyle w:val="Compact"/>
            </w:pPr>
            <w:r>
              <w:t xml:space="preserve">“Arise, O God, defend your cause”</w:t>
            </w:r>
            <w:r>
              <w:t xml:space="preserve"> </w:t>
            </w:r>
            <w:r>
              <w:t xml:space="preserve">— final plea rooted in God’s own honor, not Israel’s merit</w:t>
            </w:r>
          </w:p>
        </w:tc>
        <w:tc>
          <w:tcPr/>
          <w:p>
            <w:pPr>
              <w:pStyle w:val="Compact"/>
            </w:pPr>
            <w:r>
              <w:t xml:space="preserve">The psalm ends on petition, not triumph; no resolution is given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Opening Accusation:</w:t>
            </w:r>
            <w:r>
              <w:t xml:space="preserve"> </w:t>
            </w:r>
            <w:r>
              <w:t xml:space="preserve">“Why Have You Rejected Us?”</w:t>
            </w:r>
          </w:p>
        </w:tc>
      </w:tr>
      <w:tr>
        <w:tc>
          <w:tcPr/>
          <w:p>
            <w:pPr>
              <w:pStyle w:val="Compact"/>
            </w:pPr>
            <w:r>
              <w:t xml:space="preserve">2</w:t>
            </w:r>
          </w:p>
        </w:tc>
        <w:tc>
          <w:tcPr/>
          <w:p>
            <w:pPr>
              <w:pStyle w:val="Compact"/>
            </w:pPr>
            <w:r>
              <w:t xml:space="preserve">4–11</w:t>
            </w:r>
          </w:p>
        </w:tc>
        <w:tc>
          <w:tcPr/>
          <w:p>
            <w:pPr>
              <w:pStyle w:val="Compact"/>
            </w:pPr>
            <w:r>
              <w:t xml:space="preserve">The Evidence: The Enemy Has Destroyed Everything and God Has Said Nothing</w:t>
            </w:r>
          </w:p>
        </w:tc>
      </w:tr>
      <w:tr>
        <w:tc>
          <w:tcPr/>
          <w:p>
            <w:pPr>
              <w:pStyle w:val="Compact"/>
            </w:pPr>
            <w:r>
              <w:t xml:space="preserve">3</w:t>
            </w:r>
          </w:p>
        </w:tc>
        <w:tc>
          <w:tcPr/>
          <w:p>
            <w:pPr>
              <w:pStyle w:val="Compact"/>
            </w:pPr>
            <w:r>
              <w:t xml:space="preserve">12–17</w:t>
            </w:r>
          </w:p>
        </w:tc>
        <w:tc>
          <w:tcPr/>
          <w:p>
            <w:pPr>
              <w:pStyle w:val="Compact"/>
            </w:pPr>
            <w:r>
              <w:t xml:space="preserve">The Pivot: Pressing God with His Own Resume</w:t>
            </w:r>
          </w:p>
        </w:tc>
      </w:tr>
      <w:tr>
        <w:tc>
          <w:tcPr/>
          <w:p>
            <w:pPr>
              <w:pStyle w:val="Compact"/>
            </w:pPr>
            <w:r>
              <w:t xml:space="preserve">4</w:t>
            </w:r>
          </w:p>
        </w:tc>
        <w:tc>
          <w:tcPr/>
          <w:p>
            <w:pPr>
              <w:pStyle w:val="Compact"/>
            </w:pPr>
            <w:r>
              <w:t xml:space="preserve">18–23</w:t>
            </w:r>
          </w:p>
        </w:tc>
        <w:tc>
          <w:tcPr/>
          <w:p>
            <w:pPr>
              <w:pStyle w:val="Compact"/>
            </w:pPr>
            <w:r>
              <w:t xml:space="preserve">The Petitions: Appealing to God’s Name, Covenant, and Honor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teaches His people to pray with theological honesty when He seems absent and His sanctuary lies in ruins.</w:t>
      </w:r>
    </w:p>
    <w:p>
      <w:pPr>
        <w:pStyle w:val="BodyText"/>
      </w:pPr>
      <w:r>
        <w:rPr>
          <w:b/>
          <w:bCs/>
        </w:rPr>
        <w:t xml:space="preserve">Primary Claim:</w:t>
      </w:r>
      <w:r>
        <w:t xml:space="preserve"> </w:t>
      </w:r>
      <w:r>
        <w:t xml:space="preserve">When God appears to have abandoned His people and His cause, He calls them not to silence or despair but to covenantal lament — pressing Him with His own name, power, and honor until He acts.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Reframe</w:t>
      </w:r>
      <w:r>
        <w:rPr>
          <w:b/>
          <w:bCs/>
        </w:rPr>
        <w:t xml:space="preserve"> </w:t>
      </w:r>
      <w:r>
        <w:rPr>
          <w:b/>
          <w:bCs/>
        </w:rPr>
        <w:t xml:space="preserve">“unanswered prayer”</w:t>
      </w:r>
      <w:r>
        <w:rPr>
          <w:b/>
          <w:bCs/>
        </w:rPr>
        <w:t xml:space="preserve"> </w:t>
      </w:r>
      <w:r>
        <w:rPr>
          <w:b/>
          <w:bCs/>
        </w:rPr>
        <w:t xml:space="preserve">as a call to press harder into covenantal address, not evidence of God’s absence.</w:t>
      </w:r>
      <w:r>
        <w:t xml:space="preserve"> </w:t>
      </w:r>
      <w:r>
        <w:t xml:space="preserve">The psalmist does not interpret the silence of God as proof that God has departed or that prayer is useless. He interprets it as a reason to intensify covenantal address — to remind God of His own name, His own covenant, His own honor. When your prayers seem to go unanswered and the silence stretches, the psalm is teaching you not to read that silence as rejection but as an invitation to press more deeply into what you know to be true of God. Stop reading God’s silence from the outside — from visible circumstances — and learn to read it from the inside of His covenant commitment, which silence does not nullify.</w:t>
      </w:r>
    </w:p>
    <w:p>
      <w:pPr>
        <w:pStyle w:val="BodyText"/>
      </w:pPr>
      <w:r>
        <w:rPr>
          <w:b/>
          <w:bCs/>
        </w:rPr>
        <w:t xml:space="preserve">2. [Affections/Worship] Allow your grief and anger before God to become the substance of prayer rather than an obstacle to it.</w:t>
      </w:r>
      <w:r>
        <w:t xml:space="preserve"> </w:t>
      </w:r>
      <w:r>
        <w:t xml:space="preserve">Psalm 74 opens with an accusation, not a confession.</w:t>
      </w:r>
      <w:r>
        <w:t xml:space="preserve"> </w:t>
      </w:r>
      <w:r>
        <w:t xml:space="preserve">“O God, why have you rejected us forever?”</w:t>
      </w:r>
      <w:r>
        <w:t xml:space="preserve"> </w:t>
      </w:r>
      <w:r>
        <w:t xml:space="preserve">This is not irreverence — it is covenant speech. The psalmist is bringing the full weight of his devastation and confusion into the presence of God rather than managing it elsewhere. Many believers suppress their grief, their confusion, and their anger at God’s apparent absence because they believe it is spiritually inappropriate to feel these things toward God. The psalm gives you permission to feel them — and more, gives you language to bring them to God. The lament genre exists in the canon because God wants your honest devastation more than your performed composure.</w:t>
      </w:r>
    </w:p>
    <w:p>
      <w:pPr>
        <w:pStyle w:val="BodyText"/>
      </w:pPr>
      <w:r>
        <w:rPr>
          <w:b/>
          <w:bCs/>
        </w:rPr>
        <w:t xml:space="preserve">3. [Mind/Belief] Practice the discipline of theological counter-argument — pressing God with what you know of Him when what you see contradicts it.</w:t>
      </w:r>
      <w:r>
        <w:t xml:space="preserve"> </w:t>
      </w:r>
      <w:r>
        <w:t xml:space="preserve">Verses 12–17 are the psalm’s central move: the psalmist has just catalogued everything that argues against God’s faithfulness (vv. 4–11), and now he systematically argues back from God’s proven track record. This is not denial of the circumstances — he does not pretend the destruction did not happen. It is the discipline of holding two things simultaneously: the visible evidence of apparent abandonment, and the theological record of who God has shown Himself to be. When your circumstances are darkest, the pastoral wisdom of this psalm is: go to the record. Not to manufacture false comfort, but to have actual grounds for pressing God to be consistent with what He has already shown Himself to be.</w:t>
      </w:r>
    </w:p>
    <w:p>
      <w:pPr>
        <w:pStyle w:val="BodyText"/>
      </w:pPr>
      <w:r>
        <w:rPr>
          <w:b/>
          <w:bCs/>
        </w:rPr>
        <w:t xml:space="preserve">4. [Will/Behavior] Ground your petitions specifically in God’s covenant commitments rather than your own merit or emotional intensity.</w:t>
      </w:r>
      <w:r>
        <w:t xml:space="preserve"> </w:t>
      </w:r>
      <w:r>
        <w:t xml:space="preserve">Verse 20 is the psalm’s most concentrated act of faith:</w:t>
      </w:r>
      <w:r>
        <w:t xml:space="preserve"> </w:t>
      </w:r>
      <w:r>
        <w:t xml:space="preserve">“Have regard for your covenant.”</w:t>
      </w:r>
      <w:r>
        <w:t xml:space="preserve"> </w:t>
      </w:r>
      <w:r>
        <w:t xml:space="preserve">The psalmist does not appeal to Israel’s past faithfulness, its suffering, or its emotional desperation as the grounds for God’s response. He appeals to God’s own binding commitment. When you pray in darkness, the question to ask is not</w:t>
      </w:r>
      <w:r>
        <w:t xml:space="preserve"> </w:t>
      </w:r>
      <w:r>
        <w:t xml:space="preserve">“How earnestly am I praying?”</w:t>
      </w:r>
      <w:r>
        <w:t xml:space="preserve"> </w:t>
      </w:r>
      <w:r>
        <w:t xml:space="preserve">or</w:t>
      </w:r>
      <w:r>
        <w:t xml:space="preserve"> </w:t>
      </w:r>
      <w:r>
        <w:t xml:space="preserve">“Do I deserve an answer?”</w:t>
      </w:r>
      <w:r>
        <w:t xml:space="preserve"> </w:t>
      </w:r>
      <w:r>
        <w:t xml:space="preserve">but</w:t>
      </w:r>
      <w:r>
        <w:t xml:space="preserve"> </w:t>
      </w:r>
      <w:r>
        <w:t xml:space="preserve">“What has God bound Himself to do?”</w:t>
      </w:r>
      <w:r>
        <w:t xml:space="preserve"> </w:t>
      </w:r>
      <w:r>
        <w:t xml:space="preserve">Covenant-grounded petitions are different in kind from merit-based or emotion-based petitions. This psalm is teaching you to pray from the covenant outward, not from your need inward.</w:t>
      </w:r>
    </w:p>
    <w:p>
      <w:pPr>
        <w:pStyle w:val="BodyText"/>
      </w:pPr>
      <w:r>
        <w:rPr>
          <w:b/>
          <w:bCs/>
        </w:rPr>
        <w:t xml:space="preserve">5. [Affections/Worship] Cultivate honest solidarity with other believers in their seasons of corporate darkness rather than retreating into private spiritual comfort.</w:t>
      </w:r>
      <w:r>
        <w:t xml:space="preserve"> </w:t>
      </w:r>
      <w:r>
        <w:t xml:space="preserve">Psalm 74 is a communal lament —</w:t>
      </w:r>
      <w:r>
        <w:t xml:space="preserve"> </w:t>
      </w:r>
      <w:r>
        <w:t xml:space="preserve">“we,”</w:t>
      </w:r>
      <w:r>
        <w:t xml:space="preserve"> </w:t>
      </w:r>
      <w:r>
        <w:t xml:space="preserve">“our,”</w:t>
      </w:r>
      <w:r>
        <w:t xml:space="preserve"> </w:t>
      </w:r>
      <w:r>
        <w:t xml:space="preserve">“us”</w:t>
      </w:r>
      <w:r>
        <w:t xml:space="preserve"> </w:t>
      </w:r>
      <w:r>
        <w:t xml:space="preserve">— not a private devotional. The devastation it names is collective: the sanctuary is gone, the prophets are silenced, the whole community is without a sign or a word. The psalm was preserved in the canon for corporate worship, to be prayed together. Western Christianity has almost entirely lost the practice of corporate lament — of gathering together to bring communal darkness, corporate grief, or shared confusion to God in structured, honest prayer. This psalm is not merely a template for private devotion. It is a call to stand with your community in its seasons of darkness and bring that darkness to God together, refusing both the false comfort of premature resolution and the isolation of private spiritual management.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74 establishes that covenantal lament — honest, pressing, accusatory address to God in the midst of devastation — is not a failure of faith but an expression of it. The psalmist’s willingness to bring raw confusion and apparent abandonment before God, rather than resolving it through silence or despair, reflects a profound theology of divine accessibility and covenantal binding: God can be addressed in this way because He has bound Himself to His people through covenant, and that covenant does not suspend in dark seasons. The theological pivot in verses 12–17 further teaches that God’s creative sovereignty is not undermined by apparent inaction — the God who crushed Leviathan and established the seasons cannot be defeated by the present enemy, however overwhelming. The psalm holds together two truths that human psychology struggles to hold: God’s sovereign power and God’s apparent silence — and refuses to resolve the tension by abandoning either.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Reformed theology’s insistence on divine sovereignty and covenant faithfulness makes Psalm 74 particularly clarifying. The psalmist’s argument is structurally Calvinian: God’s actions are not constrained by Israel’s spiritual condition or emotional intensity but by His own covenantal commitments and the honor of His own name. The appeals in verses 18–22 are not attempts to manipulate a neutral deity but exercises in covenant faith — holding God to what He has freely and sovereignly bound Himself to do. This is prayer as it functions in a Reformed framework: not human initiative activating divine response, but human faith pressing into prior divine commitment. The psalm also guards against the Reformed tendency toward a stoic acceptance of providence that bypasses lament — Psalm 74 demonstrates that honest grief and pressing petition are not failures of Reformed composure but are themselves acts of covenantal trust, preserved in inspired Scripture for precisely this purpose.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darkness you are in right now does not mean God has abandoned you or that His cause has failed — but He is not asking you to pretend the darkness isn’t real. He is asking you to bring it to Him, press Him with His own covenant, rehearse what you know of His power and His promises, and refuse both the despair that stops praying and the false comfort that stops being honest. Pray like the psalmist: name the devastation, rehearse the record, and then hold God to His word — because the covenant He made does not expire in the dark.</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Forcing resolution onto an unresolved text.</w:t>
      </w:r>
      <w:r>
        <w:t xml:space="preserve"> </w:t>
      </w:r>
      <w:r>
        <w:t xml:space="preserve">Psalm 74 ends with petition, not triumph. The single most common homiletical failure with this psalm is importing a resolution —</w:t>
      </w:r>
      <w:r>
        <w:t xml:space="preserve"> </w:t>
      </w:r>
      <w:r>
        <w:t xml:space="preserve">“and God answered”</w:t>
      </w:r>
      <w:r>
        <w:t xml:space="preserve"> </w:t>
      </w:r>
      <w:r>
        <w:t xml:space="preserve">— that the text deliberately withholds. The psalm was preserved in its unresolved form because God’s people need permission to inhabit darkness without a tidy ending. Sermons that end with</w:t>
      </w:r>
      <w:r>
        <w:t xml:space="preserve"> </w:t>
      </w:r>
      <w:r>
        <w:t xml:space="preserve">“but we know God will answer”</w:t>
      </w:r>
      <w:r>
        <w:t xml:space="preserve"> </w:t>
      </w:r>
      <w:r>
        <w:t xml:space="preserve">— when the text does not say this — domesticate the psalm’s most important feature: its honest incompleteness.</w:t>
      </w:r>
    </w:p>
    <w:p>
      <w:pPr>
        <w:numPr>
          <w:ilvl w:val="0"/>
          <w:numId w:val="1002"/>
        </w:numPr>
      </w:pPr>
      <w:r>
        <w:rPr>
          <w:b/>
          <w:bCs/>
        </w:rPr>
        <w:t xml:space="preserve">Treating the lament as a spiritual problem to be corrected rather than a theological practice to be modeled.</w:t>
      </w:r>
      <w:r>
        <w:t xml:space="preserve"> </w:t>
      </w:r>
      <w:r>
        <w:t xml:space="preserve">Some expositors read the psalm’s raw accusatory opening (</w:t>
      </w:r>
      <w:r>
        <w:t xml:space="preserve">“Why have you rejected us forever?”</w:t>
      </w:r>
      <w:r>
        <w:t xml:space="preserve">) as Israel’s spiritual failure — a failure of trust that the rest of the psalm corrects. The text does not support this. The accusatory opening is the beginning of a canonical pattern, not a departure from it. God preserved this prayer in Scripture; the lament is the point, not the problem.</w:t>
      </w:r>
    </w:p>
    <w:p>
      <w:pPr>
        <w:numPr>
          <w:ilvl w:val="0"/>
          <w:numId w:val="1002"/>
        </w:numPr>
      </w:pPr>
      <w:r>
        <w:rPr>
          <w:b/>
          <w:bCs/>
        </w:rPr>
        <w:t xml:space="preserve">Misreading verses 12–17 as a doxological interruption rather than an argumentative pivot.</w:t>
      </w:r>
      <w:r>
        <w:t xml:space="preserve"> </w:t>
      </w:r>
      <w:r>
        <w:t xml:space="preserve">The hymnic middle section can be read as a sudden mood shift — praise breaking in on lament as a kind of relief. The more careful reading recognizes that these verses are the psalm’s central move: the psalmist is building a case from God’s proven record to press the petitions in vv. 18–23. Preaching the middle section as doxology loses the argumentative force that makes the closing petitions coherent.</w:t>
      </w:r>
    </w:p>
    <w:p>
      <w:pPr>
        <w:numPr>
          <w:ilvl w:val="0"/>
          <w:numId w:val="1002"/>
        </w:numPr>
      </w:pPr>
      <w:r>
        <w:rPr>
          <w:b/>
          <w:bCs/>
        </w:rPr>
        <w:t xml:space="preserve">Individualizing what is intentionally corporate.</w:t>
      </w:r>
      <w:r>
        <w:t xml:space="preserve"> </w:t>
      </w:r>
      <w:r>
        <w:t xml:space="preserve">Psalm 74 is a communal lament. Preaching it purely as a model for individual private prayer misses its most important dimension — the call to shared, corporate honesty before God. This psalm belongs to a gathered community, not merely to a private devotional life. Applications should include what corporate lament looks like in a contemporary congregation, not only what it looks like in individual prayer.</w:t>
      </w:r>
    </w:p>
    <w:p>
      <w:pPr>
        <w:numPr>
          <w:ilvl w:val="0"/>
          <w:numId w:val="1002"/>
        </w:numPr>
      </w:pPr>
      <w:r>
        <w:rPr>
          <w:b/>
          <w:bCs/>
        </w:rPr>
        <w:t xml:space="preserve">Over-spiritualizing the historical specificity.</w:t>
      </w:r>
      <w:r>
        <w:t xml:space="preserve"> </w:t>
      </w:r>
      <w:r>
        <w:t xml:space="preserve">The destruction of the temple is not merely a spiritual metaphor for internal spiritual desolation. It was a catastrophic, concrete, political, and theological event — the apparent defeat of God’s dwelling place on earth. Preaching that moves too quickly from</w:t>
      </w:r>
      <w:r>
        <w:t xml:space="preserve"> </w:t>
      </w:r>
      <w:r>
        <w:t xml:space="preserve">“the sanctuary is destroyed”</w:t>
      </w:r>
      <w:r>
        <w:t xml:space="preserve"> </w:t>
      </w:r>
      <w:r>
        <w:t xml:space="preserve">to</w:t>
      </w:r>
      <w:r>
        <w:t xml:space="preserve"> </w:t>
      </w:r>
      <w:r>
        <w:t xml:space="preserve">“our inner spiritual life is in ruins”</w:t>
      </w:r>
      <w:r>
        <w:t xml:space="preserve"> </w:t>
      </w:r>
      <w:r>
        <w:t xml:space="preserve">loses the canonical weight of the event and the theological stakes of the psalm’s argument. Let the historical concreteness stand.</w:t>
      </w:r>
    </w:p>
    <w:p>
      <w:pPr>
        <w:numPr>
          <w:ilvl w:val="0"/>
          <w:numId w:val="1002"/>
        </w:numPr>
      </w:pPr>
      <w:r>
        <w:rPr>
          <w:b/>
          <w:bCs/>
        </w:rPr>
        <w:t xml:space="preserve">Neglecting to preach the silence of God as itself a pastoral category.</w:t>
      </w:r>
      <w:r>
        <w:t xml:space="preserve"> </w:t>
      </w:r>
      <w:r>
        <w:t xml:space="preserve">Verse 9 —</w:t>
      </w:r>
      <w:r>
        <w:t xml:space="preserve"> </w:t>
      </w:r>
      <w:r>
        <w:t xml:space="preserve">“we do not see our signs; there is no longer any prophet; and there is none among us who knows how long”</w:t>
      </w:r>
      <w:r>
        <w:t xml:space="preserve"> </w:t>
      </w:r>
      <w:r>
        <w:t xml:space="preserve">— is a description of complete epistemic darkness: no sign, no word, no timeframe. This triple absence is not incidental. Preachers should address the experience of divine silence directly, with the pastoral honesty the psalm itself models, rather than moving past it too quickly toward the more comfortable territory of God’s power in vv. 12–17.</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2026-07-14T21:04:57Z</dcterms:created>
  <dcterms:modified xsi:type="dcterms:W3CDTF">2026-07-14T21:04:57Z</dcterms:modified>
</cp:coreProperties>
</file>

<file path=docProps/custom.xml><?xml version="1.0" encoding="utf-8"?>
<Properties xmlns="http://schemas.openxmlformats.org/officeDocument/2006/custom-properties" xmlns:vt="http://schemas.openxmlformats.org/officeDocument/2006/docPropsVTypes"/>
</file>